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9BEEFCA" w14:textId="77777777" w:rsidR="00410594"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w:t>
      </w:r>
      <w:r w:rsidR="00B72A18">
        <w:rPr>
          <w:rFonts w:ascii="Arial" w:hAnsi="Arial" w:cs="Arial"/>
          <w:sz w:val="18"/>
          <w:szCs w:val="18"/>
        </w:rPr>
        <w:t>entregar</w:t>
      </w:r>
      <w:r w:rsidRPr="00012F16">
        <w:rPr>
          <w:rFonts w:ascii="Arial" w:hAnsi="Arial" w:cs="Arial"/>
          <w:sz w:val="18"/>
          <w:szCs w:val="18"/>
        </w:rPr>
        <w:t>.</w:t>
      </w:r>
      <w:r w:rsidR="00E33149">
        <w:rPr>
          <w:rFonts w:ascii="Arial" w:hAnsi="Arial" w:cs="Arial"/>
          <w:sz w:val="18"/>
          <w:szCs w:val="18"/>
        </w:rPr>
        <w:t xml:space="preserve"> </w:t>
      </w:r>
    </w:p>
    <w:p w14:paraId="46924424" w14:textId="77777777" w:rsidR="00410594" w:rsidRDefault="00410594" w:rsidP="006622C9">
      <w:pPr>
        <w:spacing w:after="0" w:line="240" w:lineRule="auto"/>
        <w:jc w:val="both"/>
        <w:rPr>
          <w:rFonts w:ascii="Arial" w:hAnsi="Arial" w:cs="Arial"/>
          <w:sz w:val="18"/>
          <w:szCs w:val="18"/>
        </w:rPr>
      </w:pPr>
    </w:p>
    <w:p w14:paraId="46523B94" w14:textId="77777777" w:rsidR="00410594" w:rsidRDefault="00410594" w:rsidP="006622C9">
      <w:pPr>
        <w:spacing w:after="0" w:line="240" w:lineRule="auto"/>
        <w:jc w:val="both"/>
        <w:rPr>
          <w:rFonts w:ascii="Arial" w:hAnsi="Arial" w:cs="Arial"/>
          <w:sz w:val="18"/>
          <w:szCs w:val="18"/>
        </w:rPr>
      </w:pPr>
    </w:p>
    <w:tbl>
      <w:tblPr>
        <w:tblStyle w:val="Tablaconcuadrcula"/>
        <w:tblW w:w="0" w:type="auto"/>
        <w:tblLook w:val="04A0" w:firstRow="1" w:lastRow="0" w:firstColumn="1" w:lastColumn="0" w:noHBand="0" w:noVBand="1"/>
      </w:tblPr>
      <w:tblGrid>
        <w:gridCol w:w="3257"/>
        <w:gridCol w:w="3257"/>
        <w:gridCol w:w="3257"/>
      </w:tblGrid>
      <w:tr w:rsidR="00410594" w14:paraId="4ED928E1" w14:textId="77777777" w:rsidTr="00410594">
        <w:tc>
          <w:tcPr>
            <w:tcW w:w="3257" w:type="dxa"/>
            <w:vAlign w:val="center"/>
          </w:tcPr>
          <w:p w14:paraId="1384BEFB" w14:textId="3EAA2552" w:rsidR="00410594" w:rsidRPr="00410594" w:rsidRDefault="00410594" w:rsidP="00410594">
            <w:pPr>
              <w:jc w:val="center"/>
              <w:rPr>
                <w:rFonts w:ascii="Arial" w:hAnsi="Arial" w:cs="Arial"/>
                <w:b/>
                <w:sz w:val="18"/>
                <w:szCs w:val="18"/>
              </w:rPr>
            </w:pPr>
            <w:r w:rsidRPr="00410594">
              <w:rPr>
                <w:rFonts w:ascii="Arial" w:hAnsi="Arial" w:cs="Arial"/>
                <w:b/>
                <w:sz w:val="18"/>
                <w:szCs w:val="18"/>
              </w:rPr>
              <w:t>CANTIDAD DE BIDONES</w:t>
            </w:r>
          </w:p>
        </w:tc>
        <w:tc>
          <w:tcPr>
            <w:tcW w:w="3257" w:type="dxa"/>
            <w:vAlign w:val="center"/>
          </w:tcPr>
          <w:p w14:paraId="669F71EF" w14:textId="0987A02E" w:rsidR="00410594" w:rsidRPr="00410594" w:rsidRDefault="00410594" w:rsidP="00410594">
            <w:pPr>
              <w:jc w:val="center"/>
              <w:rPr>
                <w:rFonts w:ascii="Arial" w:hAnsi="Arial" w:cs="Arial"/>
                <w:b/>
                <w:sz w:val="18"/>
                <w:szCs w:val="18"/>
              </w:rPr>
            </w:pPr>
            <w:r w:rsidRPr="00410594">
              <w:rPr>
                <w:rFonts w:ascii="Arial" w:hAnsi="Arial" w:cs="Arial"/>
                <w:b/>
                <w:sz w:val="18"/>
                <w:szCs w:val="18"/>
              </w:rPr>
              <w:t>PRECIO UNITARIO</w:t>
            </w:r>
          </w:p>
        </w:tc>
        <w:tc>
          <w:tcPr>
            <w:tcW w:w="3257" w:type="dxa"/>
            <w:vAlign w:val="center"/>
          </w:tcPr>
          <w:p w14:paraId="0DE2BF7F" w14:textId="483478DC" w:rsidR="00410594" w:rsidRPr="00410594" w:rsidRDefault="00410594" w:rsidP="00410594">
            <w:pPr>
              <w:jc w:val="center"/>
              <w:rPr>
                <w:rFonts w:ascii="Arial" w:hAnsi="Arial" w:cs="Arial"/>
                <w:b/>
                <w:sz w:val="18"/>
                <w:szCs w:val="18"/>
              </w:rPr>
            </w:pPr>
            <w:r w:rsidRPr="00410594">
              <w:rPr>
                <w:rFonts w:ascii="Arial" w:hAnsi="Arial" w:cs="Arial"/>
                <w:b/>
                <w:sz w:val="18"/>
                <w:szCs w:val="18"/>
              </w:rPr>
              <w:t>MONTO TOTAL</w:t>
            </w:r>
          </w:p>
        </w:tc>
      </w:tr>
      <w:tr w:rsidR="00410594" w14:paraId="4120793E" w14:textId="77777777" w:rsidTr="00410594">
        <w:tc>
          <w:tcPr>
            <w:tcW w:w="3257" w:type="dxa"/>
            <w:vAlign w:val="center"/>
          </w:tcPr>
          <w:p w14:paraId="7C020CFC" w14:textId="3B94070D" w:rsidR="00410594" w:rsidRDefault="00410594" w:rsidP="00410594">
            <w:pPr>
              <w:jc w:val="center"/>
              <w:rPr>
                <w:rFonts w:ascii="Arial" w:hAnsi="Arial" w:cs="Arial"/>
                <w:sz w:val="18"/>
                <w:szCs w:val="18"/>
              </w:rPr>
            </w:pPr>
            <w:r>
              <w:rPr>
                <w:rFonts w:ascii="Arial" w:hAnsi="Arial" w:cs="Arial"/>
                <w:sz w:val="18"/>
                <w:szCs w:val="18"/>
              </w:rPr>
              <w:t>XX</w:t>
            </w:r>
          </w:p>
        </w:tc>
        <w:tc>
          <w:tcPr>
            <w:tcW w:w="3257" w:type="dxa"/>
            <w:vAlign w:val="center"/>
          </w:tcPr>
          <w:p w14:paraId="75B92A29" w14:textId="5E081765" w:rsidR="00410594" w:rsidRDefault="00410594" w:rsidP="00410594">
            <w:pPr>
              <w:jc w:val="center"/>
              <w:rPr>
                <w:rFonts w:ascii="Arial" w:hAnsi="Arial" w:cs="Arial"/>
                <w:sz w:val="18"/>
                <w:szCs w:val="18"/>
              </w:rPr>
            </w:pPr>
            <w:r>
              <w:rPr>
                <w:rFonts w:ascii="Arial" w:hAnsi="Arial" w:cs="Arial"/>
                <w:sz w:val="18"/>
                <w:szCs w:val="18"/>
              </w:rPr>
              <w:t>XXXXXX</w:t>
            </w:r>
          </w:p>
        </w:tc>
        <w:tc>
          <w:tcPr>
            <w:tcW w:w="3257" w:type="dxa"/>
            <w:vAlign w:val="center"/>
          </w:tcPr>
          <w:p w14:paraId="5B936898" w14:textId="7622383E" w:rsidR="00410594" w:rsidRDefault="00410594" w:rsidP="00410594">
            <w:pPr>
              <w:jc w:val="center"/>
              <w:rPr>
                <w:rFonts w:ascii="Arial" w:hAnsi="Arial" w:cs="Arial"/>
                <w:sz w:val="18"/>
                <w:szCs w:val="18"/>
              </w:rPr>
            </w:pPr>
            <w:r>
              <w:rPr>
                <w:rFonts w:ascii="Arial" w:hAnsi="Arial" w:cs="Arial"/>
                <w:sz w:val="18"/>
                <w:szCs w:val="18"/>
              </w:rPr>
              <w:t>XXXXXXXXXXX</w:t>
            </w:r>
          </w:p>
        </w:tc>
      </w:tr>
    </w:tbl>
    <w:p w14:paraId="1E717509" w14:textId="77777777" w:rsidR="00410594" w:rsidRDefault="00410594" w:rsidP="006622C9">
      <w:pPr>
        <w:spacing w:after="0" w:line="240" w:lineRule="auto"/>
        <w:jc w:val="both"/>
        <w:rPr>
          <w:rFonts w:ascii="Arial" w:hAnsi="Arial" w:cs="Arial"/>
          <w:sz w:val="18"/>
          <w:szCs w:val="18"/>
        </w:rPr>
      </w:pPr>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07CB8795"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410594">
        <w:rPr>
          <w:rFonts w:ascii="Arial" w:hAnsi="Arial" w:cs="Arial"/>
          <w:sz w:val="18"/>
          <w:szCs w:val="18"/>
          <w:highlight w:val="yellow"/>
        </w:rPr>
        <w:t>VIII</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w:t>
      </w:r>
      <w:r w:rsidR="00410594">
        <w:rPr>
          <w:rFonts w:ascii="Arial" w:hAnsi="Arial" w:cs="Arial"/>
          <w:sz w:val="18"/>
          <w:szCs w:val="18"/>
          <w:highlight w:val="yellow"/>
        </w:rPr>
        <w:t xml:space="preserve">especificación técnica </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2B82FC1D"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w:t>
      </w:r>
      <w:proofErr w:type="spellStart"/>
      <w:r w:rsidRPr="00C9519A">
        <w:rPr>
          <w:rFonts w:ascii="Arial" w:hAnsi="Arial" w:cs="Arial"/>
          <w:sz w:val="18"/>
          <w:szCs w:val="18"/>
          <w:highlight w:val="yellow"/>
        </w:rPr>
        <w:t>N°</w:t>
      </w:r>
      <w:proofErr w:type="spellEnd"/>
      <w:r w:rsidRPr="00C9519A">
        <w:rPr>
          <w:rFonts w:ascii="Arial" w:hAnsi="Arial" w:cs="Arial"/>
          <w:sz w:val="18"/>
          <w:szCs w:val="18"/>
          <w:highlight w:val="yellow"/>
        </w:rPr>
        <w:t xml:space="preserve"> </w:t>
      </w:r>
      <w:r w:rsidR="003D626B" w:rsidRPr="00C9519A">
        <w:rPr>
          <w:rFonts w:ascii="Arial" w:hAnsi="Arial" w:cs="Arial"/>
          <w:sz w:val="18"/>
          <w:szCs w:val="18"/>
          <w:highlight w:val="yellow"/>
        </w:rPr>
        <w:t>X</w:t>
      </w:r>
      <w:r w:rsidR="00410594">
        <w:rPr>
          <w:rFonts w:ascii="Arial" w:hAnsi="Arial" w:cs="Arial"/>
          <w:sz w:val="18"/>
          <w:szCs w:val="18"/>
          <w:highlight w:val="yellow"/>
        </w:rPr>
        <w:t>I</w:t>
      </w:r>
      <w:r w:rsidRPr="00C9519A">
        <w:rPr>
          <w:rFonts w:ascii="Arial" w:hAnsi="Arial" w:cs="Arial"/>
          <w:sz w:val="18"/>
          <w:szCs w:val="18"/>
          <w:highlight w:val="yellow"/>
        </w:rPr>
        <w:t xml:space="preserve"> de </w:t>
      </w:r>
      <w:r w:rsidR="005C06FC">
        <w:rPr>
          <w:rFonts w:ascii="Arial" w:hAnsi="Arial" w:cs="Arial"/>
          <w:sz w:val="18"/>
          <w:szCs w:val="18"/>
          <w:highlight w:val="yellow"/>
        </w:rPr>
        <w:t xml:space="preserve">la </w:t>
      </w:r>
      <w:r w:rsidR="00410594">
        <w:rPr>
          <w:rFonts w:ascii="Arial" w:hAnsi="Arial" w:cs="Arial"/>
          <w:sz w:val="18"/>
          <w:szCs w:val="18"/>
          <w:highlight w:val="yellow"/>
        </w:rPr>
        <w:t>especificación técnica</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4F8C613B"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 xml:space="preserve">(detallar el objeto del </w:t>
      </w:r>
      <w:r w:rsidR="00410594">
        <w:rPr>
          <w:rFonts w:ascii="Arial" w:eastAsia="Times New Roman" w:hAnsi="Arial" w:cs="Arial"/>
          <w:i/>
          <w:sz w:val="18"/>
          <w:szCs w:val="18"/>
          <w:highlight w:val="yellow"/>
          <w:lang w:val="es-ES" w:eastAsia="es-ES"/>
        </w:rPr>
        <w:t>bien</w:t>
      </w:r>
      <w:r w:rsidRPr="003A4CBC">
        <w:rPr>
          <w:rFonts w:ascii="Arial" w:eastAsia="Times New Roman" w:hAnsi="Arial" w:cs="Arial"/>
          <w:i/>
          <w:sz w:val="18"/>
          <w:szCs w:val="18"/>
          <w:highlight w:val="yellow"/>
          <w:lang w:val="es-ES" w:eastAsia="es-ES"/>
        </w:rPr>
        <w:t xml:space="preserve"> a contratar</w:t>
      </w:r>
      <w:r w:rsidR="006E37ED">
        <w:rPr>
          <w:rFonts w:ascii="Arial" w:eastAsia="Times New Roman" w:hAnsi="Arial" w:cs="Arial"/>
          <w:i/>
          <w:sz w:val="18"/>
          <w:szCs w:val="18"/>
          <w:highlight w:val="yellow"/>
          <w:lang w:val="es-ES" w:eastAsia="es-ES"/>
        </w:rPr>
        <w:t xml:space="preserve"> según numeral II de</w:t>
      </w:r>
      <w:r w:rsidR="00410594">
        <w:rPr>
          <w:rFonts w:ascii="Arial" w:eastAsia="Times New Roman" w:hAnsi="Arial" w:cs="Arial"/>
          <w:i/>
          <w:sz w:val="18"/>
          <w:szCs w:val="18"/>
          <w:highlight w:val="yellow"/>
          <w:lang w:val="es-ES" w:eastAsia="es-ES"/>
        </w:rPr>
        <w:t xml:space="preserve"> </w:t>
      </w:r>
      <w:r w:rsidR="006E37ED">
        <w:rPr>
          <w:rFonts w:ascii="Arial" w:eastAsia="Times New Roman" w:hAnsi="Arial" w:cs="Arial"/>
          <w:i/>
          <w:sz w:val="18"/>
          <w:szCs w:val="18"/>
          <w:highlight w:val="yellow"/>
          <w:lang w:val="es-ES" w:eastAsia="es-ES"/>
        </w:rPr>
        <w:t>l</w:t>
      </w:r>
      <w:r w:rsidR="00410594">
        <w:rPr>
          <w:rFonts w:ascii="Arial" w:eastAsia="Times New Roman" w:hAnsi="Arial" w:cs="Arial"/>
          <w:i/>
          <w:sz w:val="18"/>
          <w:szCs w:val="18"/>
          <w:highlight w:val="yellow"/>
          <w:lang w:val="es-ES" w:eastAsia="es-ES"/>
        </w:rPr>
        <w:t xml:space="preserve">a especificación </w:t>
      </w:r>
      <w:proofErr w:type="spellStart"/>
      <w:r w:rsidR="00410594">
        <w:rPr>
          <w:rFonts w:ascii="Arial" w:eastAsia="Times New Roman" w:hAnsi="Arial" w:cs="Arial"/>
          <w:i/>
          <w:sz w:val="18"/>
          <w:szCs w:val="18"/>
          <w:highlight w:val="yellow"/>
          <w:lang w:val="es-ES" w:eastAsia="es-ES"/>
        </w:rPr>
        <w:t>tecnica</w:t>
      </w:r>
      <w:proofErr w:type="spellEnd"/>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475FFFB2" w:rsidR="000C1D28"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8E134AB" w14:textId="02AE5845" w:rsidR="00246A00" w:rsidRDefault="00246A00" w:rsidP="000630E6">
      <w:pPr>
        <w:pStyle w:val="Prrafodelista"/>
        <w:tabs>
          <w:tab w:val="left" w:pos="0"/>
        </w:tabs>
        <w:spacing w:after="0" w:line="240" w:lineRule="auto"/>
        <w:ind w:left="0"/>
        <w:jc w:val="both"/>
        <w:rPr>
          <w:rFonts w:ascii="Arial" w:hAnsi="Arial" w:cs="Arial"/>
          <w:b/>
          <w:i/>
          <w:iCs/>
          <w:sz w:val="16"/>
          <w:szCs w:val="16"/>
        </w:rPr>
      </w:pPr>
    </w:p>
    <w:p w14:paraId="757D01DD" w14:textId="77777777" w:rsidR="00246A00" w:rsidRPr="004F5513" w:rsidRDefault="00246A00" w:rsidP="000630E6">
      <w:pPr>
        <w:pStyle w:val="Prrafodelista"/>
        <w:tabs>
          <w:tab w:val="left" w:pos="0"/>
        </w:tabs>
        <w:spacing w:after="0" w:line="240" w:lineRule="auto"/>
        <w:ind w:left="0"/>
        <w:jc w:val="both"/>
        <w:rPr>
          <w:rFonts w:ascii="Arial" w:hAnsi="Arial" w:cs="Arial"/>
          <w:b/>
          <w:i/>
          <w:iCs/>
          <w:sz w:val="16"/>
          <w:szCs w:val="16"/>
        </w:rPr>
      </w:pPr>
      <w:bookmarkStart w:id="0" w:name="_GoBack"/>
      <w:bookmarkEnd w:id="0"/>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2E01D6CD"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 xml:space="preserve">Asimismo, dejo constancia que la factura a ser emitida por el suscrito (o mi representada) una vez cumplida o atendida la correspondiente Orden de </w:t>
      </w:r>
      <w:r w:rsidR="00B72A18">
        <w:rPr>
          <w:rFonts w:ascii="Arial" w:hAnsi="Arial" w:cs="Arial"/>
          <w:sz w:val="18"/>
          <w:szCs w:val="18"/>
          <w:lang w:eastAsia="es-ES"/>
        </w:rPr>
        <w:t>Compra</w:t>
      </w:r>
      <w:r w:rsidRPr="00E86BBE">
        <w:rPr>
          <w:rFonts w:ascii="Arial" w:hAnsi="Arial" w:cs="Arial"/>
          <w:sz w:val="18"/>
          <w:szCs w:val="18"/>
          <w:lang w:eastAsia="es-ES"/>
        </w:rPr>
        <w:t xml:space="preserve">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E8D04" w14:textId="77777777" w:rsidR="005A6C76" w:rsidRDefault="005A6C76" w:rsidP="00BC1F93">
      <w:pPr>
        <w:spacing w:after="0" w:line="240" w:lineRule="auto"/>
      </w:pPr>
      <w:r>
        <w:separator/>
      </w:r>
    </w:p>
  </w:endnote>
  <w:endnote w:type="continuationSeparator" w:id="0">
    <w:p w14:paraId="2009DAC1" w14:textId="77777777" w:rsidR="005A6C76" w:rsidRDefault="005A6C76"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F6FC7" w14:textId="77777777" w:rsidR="005A6C76" w:rsidRDefault="005A6C76" w:rsidP="00BC1F93">
      <w:pPr>
        <w:spacing w:after="0" w:line="240" w:lineRule="auto"/>
      </w:pPr>
      <w:r>
        <w:separator/>
      </w:r>
    </w:p>
  </w:footnote>
  <w:footnote w:type="continuationSeparator" w:id="0">
    <w:p w14:paraId="7DFC0966" w14:textId="77777777" w:rsidR="005A6C76" w:rsidRDefault="005A6C76"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6A00"/>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594"/>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7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A18"/>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EEED5-AA19-446B-8FBE-88A05BF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2131</Words>
  <Characters>11724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Keyla Nayfs Velasquez Caballero</cp:lastModifiedBy>
  <cp:revision>77</cp:revision>
  <cp:lastPrinted>2021-10-18T20:36:00Z</cp:lastPrinted>
  <dcterms:created xsi:type="dcterms:W3CDTF">2022-02-06T01:53:00Z</dcterms:created>
  <dcterms:modified xsi:type="dcterms:W3CDTF">2025-09-16T19:22:00Z</dcterms:modified>
</cp:coreProperties>
</file>